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b w:val="1"/>
          <w:sz w:val="72"/>
          <w:szCs w:val="7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72"/>
          <w:szCs w:val="72"/>
          <w:vertAlign w:val="baseline"/>
          <w:rtl w:val="0"/>
        </w:rPr>
        <w:t xml:space="preserve">Noho Ana I Hilo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Na </w:t>
      </w: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ʻAnakē Edith Kanakaʻole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Noho ana i Hilo i ka ʻāina kawaū o Kulukuluā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ʻO Hilo ʻāina hoʻolulu lehua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Nā lehua makanoe o uka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Hao mai ka ua kilihune o ka nahele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Pū ia me ke ʻala o ka maile o Panaʻewa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Kūnou mai nā wai moʻo ʻo Wailuku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He lua luku i nā kānaka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I Kaipalaoa e ʻuwā ana,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I Hāʻili ka leo mūkīkī o nā manu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Hoʻolono ʻo Waiolama me ka Wailepo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I hoʻokahi me Wailoa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A pae i ke kula o Hanakahi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ʻAkahi ka manaʻo a ke aloha i noho alo ai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I Mokuola 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vertAlign w:val="baseline"/>
          <w:rtl w:val="0"/>
        </w:rPr>
        <w:t xml:space="preserve">I ola e nā kini ē.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erriweather Sans" w:cs="Merriweather Sans" w:eastAsia="Merriweather Sans" w:hAnsi="Merriweather Sans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