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5"/>
        <w:gridCol w:w="3890"/>
        <w:tblGridChange w:id="0">
          <w:tblGrid>
            <w:gridCol w:w="2915"/>
            <w:gridCol w:w="38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white"/>
                <w:rtl w:val="0"/>
              </w:rPr>
              <w:t xml:space="preserve">Mahina O Hoku -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highlight w:val="white"/>
                <w:rtl w:val="0"/>
              </w:rPr>
              <w:t xml:space="preserve"> Lillian Awa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Auhea wale ʻoe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Mahina o Hoku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Hoʻike aʻe ʻoe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A i kou nani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Ua laʻi nā kai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Mehameha nā pali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O ʻoe a ʻo wau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E hoʻoipoipo nei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E moani ke ʻala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O ka pua hīnano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E ʻapo mai ʻoe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Me kuʻu aloha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Haʻina kou inoa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Mahina o Hoku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He noho nani maila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white"/>
                <w:rtl w:val="0"/>
              </w:rPr>
              <w:t xml:space="preserve">Mauna lani kiʻekiʻe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b5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b5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b5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