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40"/>
        <w:gridCol w:w="4880"/>
        <w:tblGridChange w:id="0">
          <w:tblGrid>
            <w:gridCol w:w="4340"/>
            <w:gridCol w:w="48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Ka Ua I Hamakua I Ke Kai Opae`Ula - Mele Ma`i for Kamehameha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Ka ua i Hamakua i ke kai Opaeʻula lā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Mahiki i luna lā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Hāʻule i lalo lā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Mahiki i luna lā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Hāʻule i lalo lā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Kū ʻoe ka owao waha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kui kele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ʻAuhea 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Eia nō ia la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Aiʻa lā hea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Eia maʻane`i lā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A he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O nēia kuli lohe ʻole lā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E maumau 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He inoa no Kamehameha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The rain at Hamakua, the sea at Opaeʻula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Drops from above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Fall down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Drops from above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Fall down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You are pierced at the mouth of the forest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by the thrust of the needle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Where is it?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Here it is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Where is it now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Here it is, over here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So!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Here is the silent one who perseveres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He acts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af0000"/>
                <w:sz w:val="28"/>
                <w:szCs w:val="28"/>
                <w:highlight w:val="white"/>
                <w:rtl w:val="0"/>
              </w:rPr>
              <w:t xml:space="preserve">For Kamehameha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